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5D19D" w14:textId="59896F26" w:rsidR="00DA5FBF" w:rsidRPr="00E02698" w:rsidRDefault="00DA5FBF" w:rsidP="00DA5FBF">
      <w:pPr>
        <w:widowControl/>
        <w:jc w:val="center"/>
        <w:rPr>
          <w:rFonts w:ascii="Arial" w:hAnsi="Arial" w:cs="Arial"/>
          <w:b/>
          <w:bCs/>
          <w:sz w:val="28"/>
          <w:szCs w:val="28"/>
        </w:rPr>
      </w:pPr>
      <w:r w:rsidRPr="00E02698">
        <w:rPr>
          <w:rFonts w:ascii="Arial" w:hAnsi="Arial" w:cs="Arial"/>
          <w:b/>
          <w:bCs/>
          <w:sz w:val="28"/>
          <w:szCs w:val="28"/>
        </w:rPr>
        <w:t xml:space="preserve">Belt and Road Architectural University International Consortium Building </w:t>
      </w:r>
      <w:r w:rsidR="00832795" w:rsidRPr="00E02698">
        <w:rPr>
          <w:rFonts w:ascii="Arial" w:hAnsi="Arial" w:cs="Arial"/>
          <w:b/>
          <w:bCs/>
          <w:sz w:val="28"/>
          <w:szCs w:val="28"/>
        </w:rPr>
        <w:t>and</w:t>
      </w:r>
      <w:r w:rsidR="00832795" w:rsidRPr="00E02698">
        <w:rPr>
          <w:rFonts w:ascii="Arial" w:hAnsi="Arial" w:cs="Arial" w:hint="eastAsia"/>
          <w:b/>
          <w:bCs/>
          <w:sz w:val="28"/>
          <w:szCs w:val="28"/>
        </w:rPr>
        <w:t xml:space="preserve"> </w:t>
      </w:r>
      <w:r w:rsidRPr="00E02698">
        <w:rPr>
          <w:rFonts w:ascii="Arial" w:hAnsi="Arial" w:cs="Arial"/>
          <w:b/>
          <w:bCs/>
          <w:sz w:val="28"/>
          <w:szCs w:val="28"/>
        </w:rPr>
        <w:t>Structure Student Design Competition</w:t>
      </w:r>
    </w:p>
    <w:p w14:paraId="5C972C88" w14:textId="77777777" w:rsidR="00DA5FBF" w:rsidRPr="00E02698" w:rsidRDefault="00DA5FBF" w:rsidP="00DA5FBF">
      <w:pPr>
        <w:widowControl/>
        <w:jc w:val="center"/>
        <w:rPr>
          <w:rFonts w:ascii="Arial" w:hAnsi="Arial" w:cs="Arial"/>
          <w:b/>
          <w:bCs/>
          <w:sz w:val="28"/>
          <w:szCs w:val="28"/>
        </w:rPr>
      </w:pPr>
      <w:r w:rsidRPr="00E02698">
        <w:rPr>
          <w:rFonts w:ascii="Arial" w:hAnsi="Arial" w:cs="Arial"/>
          <w:b/>
          <w:bCs/>
          <w:sz w:val="28"/>
          <w:szCs w:val="28"/>
        </w:rPr>
        <w:t>Rules and Guidelines</w:t>
      </w:r>
    </w:p>
    <w:p w14:paraId="070218BB" w14:textId="77777777" w:rsidR="00DA5FBF" w:rsidRPr="00E02698" w:rsidRDefault="00DA5FBF" w:rsidP="00DA5FBF">
      <w:pPr>
        <w:widowControl/>
        <w:jc w:val="left"/>
        <w:rPr>
          <w:rFonts w:ascii="Arial" w:hAnsi="Arial" w:cs="Arial"/>
          <w:sz w:val="28"/>
          <w:szCs w:val="28"/>
        </w:rPr>
      </w:pPr>
    </w:p>
    <w:p w14:paraId="4DF156BE" w14:textId="6C5E1AD8" w:rsidR="00DA5FBF" w:rsidRPr="00E02698" w:rsidRDefault="00DA5FBF" w:rsidP="00DA5FBF">
      <w:pPr>
        <w:widowControl/>
        <w:jc w:val="center"/>
        <w:rPr>
          <w:rFonts w:ascii="Arial" w:eastAsia="宋体" w:hAnsi="Arial" w:cs="Arial"/>
          <w:b/>
          <w:bCs/>
          <w:color w:val="0B0B0B"/>
          <w:kern w:val="0"/>
          <w:sz w:val="28"/>
          <w:szCs w:val="28"/>
        </w:rPr>
      </w:pPr>
      <w:r w:rsidRPr="00E02698">
        <w:rPr>
          <w:rFonts w:ascii="Arial" w:eastAsia="宋体" w:hAnsi="Arial" w:cs="Arial"/>
          <w:b/>
          <w:bCs/>
          <w:color w:val="0B0B0B"/>
          <w:kern w:val="0"/>
          <w:sz w:val="28"/>
          <w:szCs w:val="28"/>
        </w:rPr>
        <w:t>Chapter I General Rules</w:t>
      </w:r>
    </w:p>
    <w:p w14:paraId="15958F83" w14:textId="77777777" w:rsidR="00DA5FBF" w:rsidRPr="00E02698" w:rsidRDefault="00DA5FBF" w:rsidP="00DA5FBF">
      <w:pPr>
        <w:widowControl/>
        <w:jc w:val="center"/>
        <w:rPr>
          <w:rFonts w:ascii="Arial" w:eastAsia="宋体" w:hAnsi="Arial" w:cs="Arial"/>
          <w:b/>
          <w:bCs/>
          <w:color w:val="0B0B0B"/>
          <w:kern w:val="0"/>
          <w:sz w:val="28"/>
          <w:szCs w:val="28"/>
        </w:rPr>
      </w:pPr>
    </w:p>
    <w:p w14:paraId="271D4004" w14:textId="4AE87D5E"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 xml:space="preserve">Article 1 </w:t>
      </w:r>
      <w:r w:rsidRPr="00E02698">
        <w:rPr>
          <w:rFonts w:ascii="Arial" w:eastAsia="宋体" w:hAnsi="Arial" w:cs="Arial"/>
          <w:color w:val="0B0B0B"/>
          <w:kern w:val="0"/>
          <w:sz w:val="28"/>
          <w:szCs w:val="28"/>
        </w:rPr>
        <w:t>The</w:t>
      </w:r>
      <w:r w:rsidRPr="00E02698">
        <w:rPr>
          <w:rFonts w:ascii="Arial" w:hAnsi="Arial" w:cs="Arial"/>
          <w:sz w:val="28"/>
          <w:szCs w:val="28"/>
        </w:rPr>
        <w:t xml:space="preserve"> </w:t>
      </w:r>
      <w:r w:rsidRPr="00E02698">
        <w:rPr>
          <w:rFonts w:ascii="Arial" w:hAnsi="Arial" w:cs="Arial"/>
          <w:b/>
          <w:bCs/>
          <w:sz w:val="28"/>
          <w:szCs w:val="28"/>
        </w:rPr>
        <w:t xml:space="preserve">Belt and Road Architectural University International Consortium Building </w:t>
      </w:r>
      <w:r w:rsidR="00832795" w:rsidRPr="00E02698">
        <w:rPr>
          <w:rFonts w:ascii="Arial" w:hAnsi="Arial" w:cs="Arial"/>
          <w:b/>
          <w:bCs/>
          <w:sz w:val="28"/>
          <w:szCs w:val="28"/>
        </w:rPr>
        <w:t>and</w:t>
      </w:r>
      <w:r w:rsidR="00832795" w:rsidRPr="00E02698">
        <w:rPr>
          <w:rFonts w:ascii="Arial" w:hAnsi="Arial" w:cs="Arial" w:hint="eastAsia"/>
          <w:b/>
          <w:bCs/>
          <w:sz w:val="28"/>
          <w:szCs w:val="28"/>
        </w:rPr>
        <w:t xml:space="preserve"> </w:t>
      </w:r>
      <w:r w:rsidRPr="00E02698">
        <w:rPr>
          <w:rFonts w:ascii="Arial" w:hAnsi="Arial" w:cs="Arial"/>
          <w:b/>
          <w:bCs/>
          <w:sz w:val="28"/>
          <w:szCs w:val="28"/>
        </w:rPr>
        <w:t xml:space="preserve">Structure Student Design </w:t>
      </w:r>
      <w:bookmarkStart w:id="0" w:name="_Hlk15154910"/>
      <w:r w:rsidRPr="00E02698">
        <w:rPr>
          <w:rFonts w:ascii="Arial" w:hAnsi="Arial" w:cs="Arial"/>
          <w:b/>
          <w:bCs/>
          <w:sz w:val="28"/>
          <w:szCs w:val="28"/>
        </w:rPr>
        <w:t>Competition</w:t>
      </w:r>
      <w:bookmarkEnd w:id="0"/>
      <w:r w:rsidRPr="00E02698">
        <w:rPr>
          <w:rFonts w:ascii="Arial" w:eastAsia="宋体" w:hAnsi="Arial" w:cs="Arial"/>
          <w:color w:val="0B0B0B"/>
          <w:kern w:val="0"/>
          <w:sz w:val="28"/>
          <w:szCs w:val="28"/>
        </w:rPr>
        <w:t xml:space="preserve"> (hereinafter referred to as “Competition”) </w:t>
      </w:r>
      <w:proofErr w:type="gramStart"/>
      <w:r w:rsidRPr="00E02698">
        <w:rPr>
          <w:rFonts w:ascii="Arial" w:eastAsia="宋体" w:hAnsi="Arial" w:cs="Arial"/>
          <w:color w:val="0B0B0B"/>
          <w:kern w:val="0"/>
          <w:sz w:val="28"/>
          <w:szCs w:val="28"/>
        </w:rPr>
        <w:t>is</w:t>
      </w:r>
      <w:proofErr w:type="gramEnd"/>
      <w:r w:rsidRPr="00E02698">
        <w:rPr>
          <w:rFonts w:ascii="Arial" w:eastAsia="宋体" w:hAnsi="Arial" w:cs="Arial"/>
          <w:color w:val="0B0B0B"/>
          <w:kern w:val="0"/>
          <w:sz w:val="28"/>
          <w:szCs w:val="28"/>
        </w:rPr>
        <w:t xml:space="preserve"> organized by the </w:t>
      </w:r>
      <w:r w:rsidRPr="00E02698">
        <w:rPr>
          <w:rFonts w:ascii="Arial" w:hAnsi="Arial" w:cs="Arial"/>
          <w:b/>
          <w:bCs/>
          <w:sz w:val="28"/>
          <w:szCs w:val="28"/>
        </w:rPr>
        <w:t>Belt and Road Architectural University International Consortium (BRAUIC)</w:t>
      </w:r>
      <w:r w:rsidRPr="00E02698">
        <w:rPr>
          <w:rFonts w:ascii="Arial" w:eastAsia="宋体" w:hAnsi="Arial" w:cs="Arial"/>
          <w:color w:val="0B0B0B"/>
          <w:kern w:val="0"/>
          <w:sz w:val="28"/>
          <w:szCs w:val="28"/>
        </w:rPr>
        <w:t xml:space="preserve"> once a year. </w:t>
      </w:r>
    </w:p>
    <w:p w14:paraId="792219FF" w14:textId="02779D61"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2</w:t>
      </w:r>
      <w:r w:rsidRPr="00E02698">
        <w:rPr>
          <w:rFonts w:ascii="Arial" w:eastAsia="宋体" w:hAnsi="Arial" w:cs="Arial"/>
          <w:color w:val="0B0B0B"/>
          <w:kern w:val="0"/>
          <w:sz w:val="28"/>
          <w:szCs w:val="28"/>
        </w:rPr>
        <w:t xml:space="preserve"> The Competition is organized in accordance with the principle of “BRAUIC-sponsored, students-focused, and voluntary participation”. </w:t>
      </w:r>
    </w:p>
    <w:p w14:paraId="6F9B1708" w14:textId="77777777"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3</w:t>
      </w:r>
      <w:r w:rsidRPr="00E02698">
        <w:rPr>
          <w:rFonts w:ascii="Arial" w:eastAsia="宋体" w:hAnsi="Arial" w:cs="Arial"/>
          <w:color w:val="0B0B0B"/>
          <w:kern w:val="0"/>
          <w:sz w:val="28"/>
          <w:szCs w:val="28"/>
        </w:rPr>
        <w:t xml:space="preserve"> The Competition is a public welfare science and technology activity for university &amp; college students. It aims to foster the scientific and technological innovation spirit and practical ability of students from the BRAUIC member universities, improve the scientific literacy and scientific research skills of students, and promote the development of student academic activities among member universities, enhance the scientific and technological exchanges and cultural exchanges among students, thus further elevating the internationalization level of education and teaching.</w:t>
      </w:r>
    </w:p>
    <w:p w14:paraId="7C69EE52" w14:textId="295B577B"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lastRenderedPageBreak/>
        <w:t>Article 4</w:t>
      </w:r>
      <w:r w:rsidRPr="00E02698">
        <w:rPr>
          <w:rFonts w:ascii="Arial" w:eastAsia="宋体" w:hAnsi="Arial" w:cs="Arial"/>
          <w:color w:val="0B0B0B"/>
          <w:kern w:val="0"/>
          <w:sz w:val="28"/>
          <w:szCs w:val="28"/>
        </w:rPr>
        <w:t xml:space="preserve"> The Competition is based on the</w:t>
      </w:r>
      <w:r w:rsidR="00832795" w:rsidRPr="00E02698">
        <w:rPr>
          <w:rFonts w:ascii="Arial" w:eastAsia="宋体" w:hAnsi="Arial" w:cs="Arial" w:hint="eastAsia"/>
          <w:color w:val="0B0B0B"/>
          <w:kern w:val="0"/>
          <w:sz w:val="28"/>
          <w:szCs w:val="28"/>
        </w:rPr>
        <w:t xml:space="preserve"> building and</w:t>
      </w:r>
      <w:r w:rsidRPr="00E02698">
        <w:rPr>
          <w:rFonts w:ascii="Arial" w:eastAsia="宋体" w:hAnsi="Arial" w:cs="Arial"/>
          <w:color w:val="0B0B0B"/>
          <w:kern w:val="0"/>
          <w:sz w:val="28"/>
          <w:szCs w:val="28"/>
        </w:rPr>
        <w:t xml:space="preserve"> civil engineering structural design, with the theme and unique project details for each year’s event determined annually according to actual demands.</w:t>
      </w:r>
    </w:p>
    <w:p w14:paraId="27B040C1" w14:textId="51F677AA"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5</w:t>
      </w:r>
      <w:r w:rsidRPr="00E02698">
        <w:rPr>
          <w:rFonts w:ascii="Arial" w:eastAsia="宋体" w:hAnsi="Arial" w:cs="Arial"/>
          <w:color w:val="0B0B0B"/>
          <w:kern w:val="0"/>
          <w:sz w:val="28"/>
          <w:szCs w:val="28"/>
        </w:rPr>
        <w:t xml:space="preserve"> The participating university shall apply to the Competition Organizing Committee under the approval of its university administration.</w:t>
      </w:r>
    </w:p>
    <w:p w14:paraId="2FB0E2D0" w14:textId="77777777"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6</w:t>
      </w:r>
      <w:r w:rsidRPr="00E02698">
        <w:rPr>
          <w:rFonts w:ascii="Arial" w:eastAsia="宋体" w:hAnsi="Arial" w:cs="Arial"/>
          <w:color w:val="0B0B0B"/>
          <w:kern w:val="0"/>
          <w:sz w:val="28"/>
          <w:szCs w:val="28"/>
        </w:rPr>
        <w:t xml:space="preserve"> The Competition Organizing Committee sets up a jury consisting of relevant experts to judge the submissions and select outstanding works which are innovative, scientific, and workable. The winning team and faculty advisor will be awarded.</w:t>
      </w:r>
    </w:p>
    <w:p w14:paraId="2FFA0FF8" w14:textId="77777777" w:rsidR="00DA5FBF" w:rsidRPr="00E02698" w:rsidRDefault="00DA5FBF" w:rsidP="00DA5FBF">
      <w:pPr>
        <w:widowControl/>
        <w:ind w:firstLineChars="200" w:firstLine="560"/>
        <w:rPr>
          <w:rFonts w:ascii="Arial" w:eastAsia="宋体" w:hAnsi="Arial" w:cs="Arial"/>
          <w:color w:val="0B0B0B"/>
          <w:kern w:val="0"/>
          <w:sz w:val="28"/>
          <w:szCs w:val="28"/>
        </w:rPr>
      </w:pPr>
    </w:p>
    <w:p w14:paraId="27435EBC" w14:textId="2D4340DA" w:rsidR="00DA5FBF" w:rsidRPr="00E02698" w:rsidRDefault="00DA5FBF" w:rsidP="00DA5FBF">
      <w:pPr>
        <w:widowControl/>
        <w:jc w:val="center"/>
        <w:rPr>
          <w:rFonts w:ascii="Arial" w:eastAsia="宋体" w:hAnsi="Arial" w:cs="Arial"/>
          <w:b/>
          <w:bCs/>
          <w:color w:val="0B0B0B"/>
          <w:kern w:val="0"/>
          <w:sz w:val="28"/>
          <w:szCs w:val="28"/>
        </w:rPr>
      </w:pPr>
      <w:r w:rsidRPr="00E02698">
        <w:rPr>
          <w:rFonts w:ascii="Arial" w:eastAsia="宋体" w:hAnsi="Arial" w:cs="Arial"/>
          <w:b/>
          <w:bCs/>
          <w:color w:val="0B0B0B"/>
          <w:kern w:val="0"/>
          <w:sz w:val="28"/>
          <w:szCs w:val="28"/>
        </w:rPr>
        <w:t>Chapter II Organizing Structure and Responsibilities</w:t>
      </w:r>
    </w:p>
    <w:p w14:paraId="5E960A44" w14:textId="77777777" w:rsidR="00DA5FBF" w:rsidRPr="00E02698" w:rsidRDefault="00DA5FBF" w:rsidP="00DA5FBF">
      <w:pPr>
        <w:widowControl/>
        <w:ind w:firstLineChars="200" w:firstLine="560"/>
        <w:rPr>
          <w:rFonts w:ascii="Arial" w:eastAsia="宋体" w:hAnsi="Arial" w:cs="Arial"/>
          <w:color w:val="0B0B0B"/>
          <w:kern w:val="0"/>
          <w:sz w:val="28"/>
          <w:szCs w:val="28"/>
        </w:rPr>
      </w:pPr>
    </w:p>
    <w:p w14:paraId="611D14C6" w14:textId="081BC08B"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7</w:t>
      </w:r>
      <w:r w:rsidRPr="00E02698">
        <w:rPr>
          <w:rFonts w:ascii="Arial" w:eastAsia="宋体" w:hAnsi="Arial" w:cs="Arial"/>
          <w:color w:val="0B0B0B"/>
          <w:kern w:val="0"/>
          <w:sz w:val="28"/>
          <w:szCs w:val="28"/>
        </w:rPr>
        <w:t xml:space="preserve"> The Competition shall set up an Organizing Committee, a Professional Guidance Committee, a Coordination Committee, and a Work Group. The Secretariat is set up under the Organizing Committee.</w:t>
      </w:r>
    </w:p>
    <w:p w14:paraId="33B2D4A2" w14:textId="59FA81FE"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8</w:t>
      </w:r>
      <w:r w:rsidRPr="00E02698">
        <w:rPr>
          <w:rFonts w:ascii="Arial" w:eastAsia="宋体" w:hAnsi="Arial" w:cs="Arial"/>
          <w:color w:val="0B0B0B"/>
          <w:kern w:val="0"/>
          <w:sz w:val="28"/>
          <w:szCs w:val="28"/>
        </w:rPr>
        <w:t xml:space="preserve"> The Competition Organizing Committee consis</w:t>
      </w:r>
      <w:r w:rsidR="00832795" w:rsidRPr="00E02698">
        <w:rPr>
          <w:rFonts w:ascii="Arial" w:eastAsia="宋体" w:hAnsi="Arial" w:cs="Arial"/>
          <w:color w:val="0B0B0B"/>
          <w:kern w:val="0"/>
          <w:sz w:val="28"/>
          <w:szCs w:val="28"/>
        </w:rPr>
        <w:t>ts of 1 to 2 honorary directors</w:t>
      </w:r>
      <w:r w:rsidR="00832795" w:rsidRPr="00E02698">
        <w:rPr>
          <w:rFonts w:ascii="Arial" w:eastAsia="宋体" w:hAnsi="Arial" w:cs="Arial" w:hint="eastAsia"/>
          <w:color w:val="0B0B0B"/>
          <w:kern w:val="0"/>
          <w:sz w:val="28"/>
          <w:szCs w:val="28"/>
        </w:rPr>
        <w:t>,</w:t>
      </w:r>
      <w:r w:rsidR="00832795" w:rsidRPr="00E02698">
        <w:rPr>
          <w:rFonts w:ascii="Arial" w:eastAsia="宋体" w:hAnsi="Arial" w:cs="Arial"/>
          <w:color w:val="0B0B0B"/>
          <w:kern w:val="0"/>
          <w:sz w:val="28"/>
          <w:szCs w:val="28"/>
        </w:rPr>
        <w:t xml:space="preserve"> and 4</w:t>
      </w:r>
      <w:r w:rsidR="00832795" w:rsidRPr="00E02698">
        <w:rPr>
          <w:rFonts w:ascii="Arial" w:eastAsia="宋体" w:hAnsi="Arial" w:cs="Arial" w:hint="eastAsia"/>
          <w:color w:val="0B0B0B"/>
          <w:kern w:val="0"/>
          <w:sz w:val="28"/>
          <w:szCs w:val="28"/>
        </w:rPr>
        <w:t xml:space="preserve"> chairmen of committee</w:t>
      </w:r>
      <w:r w:rsidR="00832795" w:rsidRPr="00E02698">
        <w:rPr>
          <w:rFonts w:ascii="Arial" w:eastAsia="宋体" w:hAnsi="Arial" w:cs="Arial"/>
          <w:color w:val="0B0B0B"/>
          <w:kern w:val="0"/>
          <w:sz w:val="28"/>
          <w:szCs w:val="28"/>
        </w:rPr>
        <w:t xml:space="preserve"> </w:t>
      </w:r>
      <w:r w:rsidR="00832795" w:rsidRPr="00E02698">
        <w:rPr>
          <w:rFonts w:ascii="Arial" w:eastAsia="宋体" w:hAnsi="Arial" w:cs="Arial" w:hint="eastAsia"/>
          <w:color w:val="0B0B0B"/>
          <w:kern w:val="0"/>
          <w:sz w:val="28"/>
          <w:szCs w:val="28"/>
        </w:rPr>
        <w:t xml:space="preserve">and several </w:t>
      </w:r>
      <w:r w:rsidR="00832795" w:rsidRPr="00E02698">
        <w:rPr>
          <w:rFonts w:ascii="Arial" w:eastAsia="宋体" w:hAnsi="Arial" w:cs="Arial"/>
          <w:color w:val="0B0B0B"/>
          <w:kern w:val="0"/>
          <w:sz w:val="28"/>
          <w:szCs w:val="28"/>
        </w:rPr>
        <w:t>committee</w:t>
      </w:r>
      <w:r w:rsidR="00832795" w:rsidRPr="00E02698">
        <w:rPr>
          <w:rFonts w:ascii="Arial" w:eastAsia="宋体" w:hAnsi="Arial" w:cs="Arial" w:hint="eastAsia"/>
          <w:color w:val="0B0B0B"/>
          <w:kern w:val="0"/>
          <w:sz w:val="28"/>
          <w:szCs w:val="28"/>
        </w:rPr>
        <w:t xml:space="preserve"> members</w:t>
      </w:r>
      <w:r w:rsidRPr="00E02698">
        <w:rPr>
          <w:rFonts w:ascii="Arial" w:eastAsia="宋体" w:hAnsi="Arial" w:cs="Arial"/>
          <w:color w:val="0B0B0B"/>
          <w:kern w:val="0"/>
          <w:sz w:val="28"/>
          <w:szCs w:val="28"/>
        </w:rPr>
        <w:t>. The responsibilities of the Competition Organizing Committee are as follows:</w:t>
      </w:r>
    </w:p>
    <w:p w14:paraId="6E94297C" w14:textId="77777777" w:rsidR="00DA5FBF" w:rsidRPr="00E02698" w:rsidRDefault="00DA5FBF" w:rsidP="00DA5FBF">
      <w:pPr>
        <w:widowControl/>
        <w:ind w:firstLineChars="200" w:firstLine="560"/>
        <w:rPr>
          <w:rFonts w:ascii="Arial" w:hAnsi="Arial" w:cs="Arial"/>
          <w:sz w:val="28"/>
          <w:szCs w:val="28"/>
        </w:rPr>
      </w:pPr>
      <w:r w:rsidRPr="00E02698">
        <w:rPr>
          <w:rFonts w:ascii="Arial" w:eastAsia="宋体" w:hAnsi="Arial" w:cs="Arial"/>
          <w:color w:val="0B0B0B"/>
          <w:kern w:val="0"/>
          <w:sz w:val="28"/>
          <w:szCs w:val="28"/>
        </w:rPr>
        <w:t xml:space="preserve">1. Review and revise the Competition </w:t>
      </w:r>
      <w:r w:rsidRPr="00E02698">
        <w:rPr>
          <w:rFonts w:ascii="Arial" w:hAnsi="Arial" w:cs="Arial"/>
          <w:sz w:val="28"/>
          <w:szCs w:val="28"/>
        </w:rPr>
        <w:t>Rules and Guidelines</w:t>
      </w:r>
      <w:r w:rsidRPr="00E02698">
        <w:rPr>
          <w:rFonts w:ascii="Arial" w:eastAsia="宋体" w:hAnsi="Arial" w:cs="Arial"/>
          <w:color w:val="0B0B0B"/>
          <w:kern w:val="0"/>
          <w:sz w:val="28"/>
          <w:szCs w:val="28"/>
        </w:rPr>
        <w:t>, review the implementation plan and judging criteria;</w:t>
      </w:r>
    </w:p>
    <w:p w14:paraId="450863B2"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lastRenderedPageBreak/>
        <w:t>2. Make resolutions on major issues during the organization process through consultation;</w:t>
      </w:r>
    </w:p>
    <w:p w14:paraId="6DE581FF"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3. Raise organizing, judging, and awarding funds;</w:t>
      </w:r>
    </w:p>
    <w:p w14:paraId="18B907C7"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4. Review the schedule, themes &amp; topics and details for each year’s competition;</w:t>
      </w:r>
    </w:p>
    <w:p w14:paraId="0D6C25C1"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5. Review and approve the final list of winners;</w:t>
      </w:r>
    </w:p>
    <w:p w14:paraId="08F10308"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6. Review the financial report submitted by the Secretariat;</w:t>
      </w:r>
    </w:p>
    <w:p w14:paraId="210DF9F0"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7. Other unresolved matters.</w:t>
      </w:r>
    </w:p>
    <w:p w14:paraId="4358D1D9" w14:textId="7D9E4173"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The Organizing Committee is responsible for the formulation of various competition rules and regulations and has the final decision on various matters of the Competition.</w:t>
      </w:r>
    </w:p>
    <w:p w14:paraId="509996C8" w14:textId="77777777"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9</w:t>
      </w:r>
      <w:r w:rsidRPr="00E02698">
        <w:rPr>
          <w:rFonts w:ascii="Arial" w:eastAsia="宋体" w:hAnsi="Arial" w:cs="Arial"/>
          <w:color w:val="0B0B0B"/>
          <w:kern w:val="0"/>
          <w:sz w:val="28"/>
          <w:szCs w:val="28"/>
        </w:rPr>
        <w:t xml:space="preserve"> The Secretariat of the Competition Organizing Committee consists of one Secretary-general and several members. The responsibilities of the Secretariat are as follows:</w:t>
      </w:r>
    </w:p>
    <w:p w14:paraId="1A0BE6BC" w14:textId="6845DFAA"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 xml:space="preserve">1. Implement the organization of the Competition from all respects to ensure a successful event through coordinating relevant organizations according to the Competition </w:t>
      </w:r>
      <w:r w:rsidRPr="00E02698">
        <w:rPr>
          <w:rFonts w:ascii="Arial" w:hAnsi="Arial" w:cs="Arial"/>
          <w:sz w:val="28"/>
          <w:szCs w:val="28"/>
        </w:rPr>
        <w:t xml:space="preserve">Rules and Guidelines </w:t>
      </w:r>
      <w:r w:rsidRPr="00E02698">
        <w:rPr>
          <w:rFonts w:ascii="Arial" w:eastAsia="宋体" w:hAnsi="Arial" w:cs="Arial"/>
          <w:color w:val="0B0B0B"/>
          <w:kern w:val="0"/>
          <w:sz w:val="28"/>
          <w:szCs w:val="28"/>
        </w:rPr>
        <w:t>and implementation plans.</w:t>
      </w:r>
    </w:p>
    <w:p w14:paraId="559F7B09"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 xml:space="preserve">2. Collect advice and suggestions during the Competition to submit to the Organizing Committee for deliberation &amp; decision-making. </w:t>
      </w:r>
    </w:p>
    <w:p w14:paraId="623FDFB6"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3. Provide an official website for the Competition to facilitate exchange and communication of relevant information.</w:t>
      </w:r>
    </w:p>
    <w:p w14:paraId="1A02845C" w14:textId="5BA276BD"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4. Manage the funds raised by the Organizing Committee.</w:t>
      </w:r>
    </w:p>
    <w:p w14:paraId="6D9C7FA8" w14:textId="49BD48CA"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lastRenderedPageBreak/>
        <w:t>Article 10</w:t>
      </w:r>
      <w:r w:rsidRPr="00E02698">
        <w:rPr>
          <w:rFonts w:ascii="Arial" w:eastAsia="宋体" w:hAnsi="Arial" w:cs="Arial"/>
          <w:color w:val="0B0B0B"/>
          <w:kern w:val="0"/>
          <w:sz w:val="28"/>
          <w:szCs w:val="28"/>
        </w:rPr>
        <w:t xml:space="preserve"> The Competition Professional Guidance Committee shall be composed of relevant faculty members from each participating university. The responsibilities of the Professional Guidance Committee are as follows:</w:t>
      </w:r>
    </w:p>
    <w:p w14:paraId="27DA3FC0"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1. Negotiate and elect the university responsible for proposing competition themes and details;</w:t>
      </w:r>
    </w:p>
    <w:p w14:paraId="7ACC7BFE"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2. Negotiate and come up with competition themes, details and rules;</w:t>
      </w:r>
    </w:p>
    <w:p w14:paraId="11BDB7E9"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3. Negotiate and develop judging and scoring criteria;</w:t>
      </w:r>
    </w:p>
    <w:p w14:paraId="36452A34"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4. Negotiate and recommend the composition model of the jury;</w:t>
      </w:r>
    </w:p>
    <w:p w14:paraId="0578784A" w14:textId="02B225C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5. Provide professional tutoring and answers for the students in each university regarding professional issues about the Competition.</w:t>
      </w:r>
    </w:p>
    <w:p w14:paraId="79AB5F6F" w14:textId="77777777"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11</w:t>
      </w:r>
      <w:r w:rsidRPr="00E02698">
        <w:rPr>
          <w:rFonts w:ascii="Arial" w:eastAsia="宋体" w:hAnsi="Arial" w:cs="Arial"/>
          <w:color w:val="0B0B0B"/>
          <w:kern w:val="0"/>
          <w:sz w:val="28"/>
          <w:szCs w:val="28"/>
        </w:rPr>
        <w:t xml:space="preserve"> The Competition Coordination Committee consists of the relevant teachers responsible for the organization of the event from participating universities. The responsibilities of the Coordination Committee are as follows:</w:t>
      </w:r>
    </w:p>
    <w:p w14:paraId="3E791A23"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1. Send relevant documents and notices to the participating universities;</w:t>
      </w:r>
    </w:p>
    <w:p w14:paraId="46EC9172"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2. Organize the registration of participating universities, ensure a smooth participation process, and organize pre-competition tutoring and selection, etc.</w:t>
      </w:r>
    </w:p>
    <w:p w14:paraId="7C94AF5B"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3. Submit relevant works &amp; materials before deadline;</w:t>
      </w:r>
    </w:p>
    <w:p w14:paraId="6F183A4E"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4. Organize the participating students for the Competition finals;</w:t>
      </w:r>
    </w:p>
    <w:p w14:paraId="7DC0D484" w14:textId="075FF31A"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5. Answer students’ questions about the organization of the Competition.</w:t>
      </w:r>
    </w:p>
    <w:p w14:paraId="69A5D79E" w14:textId="77777777"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12</w:t>
      </w:r>
      <w:r w:rsidRPr="00E02698">
        <w:rPr>
          <w:rFonts w:ascii="Arial" w:eastAsia="宋体" w:hAnsi="Arial" w:cs="Arial"/>
          <w:color w:val="0B0B0B"/>
          <w:kern w:val="0"/>
          <w:sz w:val="28"/>
          <w:szCs w:val="28"/>
        </w:rPr>
        <w:t xml:space="preserve"> The Competition Work Group shall be composed of the faculty, staff and students from the hosting university, with 1 executive director and </w:t>
      </w:r>
      <w:r w:rsidRPr="00E02698">
        <w:rPr>
          <w:rFonts w:ascii="Arial" w:eastAsia="宋体" w:hAnsi="Arial" w:cs="Arial"/>
          <w:color w:val="0B0B0B"/>
          <w:kern w:val="0"/>
          <w:sz w:val="28"/>
          <w:szCs w:val="28"/>
        </w:rPr>
        <w:lastRenderedPageBreak/>
        <w:t>several members. Each participating university set up a sub-work-group. The responsibilities of the Work Group are as follows:</w:t>
      </w:r>
    </w:p>
    <w:p w14:paraId="1A4DB86B" w14:textId="77777777" w:rsidR="00DA5FBF" w:rsidRPr="00E02698" w:rsidRDefault="00DA5FBF" w:rsidP="00DA5FBF">
      <w:pPr>
        <w:widowControl/>
        <w:ind w:firstLineChars="200" w:firstLine="560"/>
        <w:rPr>
          <w:rFonts w:ascii="Arial" w:hAnsi="Arial" w:cs="Arial"/>
          <w:sz w:val="28"/>
          <w:szCs w:val="28"/>
        </w:rPr>
      </w:pPr>
      <w:r w:rsidRPr="00E02698">
        <w:rPr>
          <w:rFonts w:ascii="Arial" w:eastAsia="宋体" w:hAnsi="Arial" w:cs="Arial"/>
          <w:color w:val="0B0B0B"/>
          <w:kern w:val="0"/>
          <w:sz w:val="28"/>
          <w:szCs w:val="28"/>
        </w:rPr>
        <w:t xml:space="preserve">1. Draft technical documents related to the Competition, including technical rules and implementation rules, and submit to the Organizing Committee for deliberation according to this </w:t>
      </w:r>
      <w:r w:rsidRPr="00E02698">
        <w:rPr>
          <w:rFonts w:ascii="Arial" w:hAnsi="Arial" w:cs="Arial"/>
          <w:sz w:val="28"/>
          <w:szCs w:val="28"/>
        </w:rPr>
        <w:t>Rules and Guidelines.</w:t>
      </w:r>
    </w:p>
    <w:p w14:paraId="32A8A98D"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2. Recommend experts for the jury, and submit to the Organizing Committee for deliberation;</w:t>
      </w:r>
    </w:p>
    <w:p w14:paraId="64F4CACF" w14:textId="53DD90E6"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3. Responsible for the registration of the Competition, the announcement, the collection and recommendation of works, the review and judging of works, and other Competition-related matters.</w:t>
      </w:r>
    </w:p>
    <w:p w14:paraId="31DA472D" w14:textId="77777777" w:rsidR="00DA5FBF" w:rsidRPr="00E02698" w:rsidRDefault="00DA5FBF" w:rsidP="00DA5FBF">
      <w:pPr>
        <w:widowControl/>
        <w:rPr>
          <w:rFonts w:ascii="Arial" w:eastAsia="宋体" w:hAnsi="Arial" w:cs="Arial"/>
          <w:color w:val="0B0B0B"/>
          <w:kern w:val="0"/>
          <w:sz w:val="28"/>
          <w:szCs w:val="28"/>
        </w:rPr>
      </w:pPr>
    </w:p>
    <w:p w14:paraId="1E1552B9" w14:textId="1DE96284" w:rsidR="00DA5FBF" w:rsidRPr="00E02698" w:rsidRDefault="00DA5FBF" w:rsidP="00DA5FBF">
      <w:pPr>
        <w:widowControl/>
        <w:jc w:val="center"/>
        <w:rPr>
          <w:rFonts w:ascii="Arial" w:eastAsia="宋体" w:hAnsi="Arial" w:cs="Arial"/>
          <w:b/>
          <w:bCs/>
          <w:color w:val="0B0B0B"/>
          <w:kern w:val="0"/>
          <w:sz w:val="28"/>
          <w:szCs w:val="28"/>
        </w:rPr>
      </w:pPr>
      <w:r w:rsidRPr="00E02698">
        <w:rPr>
          <w:rFonts w:ascii="Arial" w:eastAsia="宋体" w:hAnsi="Arial" w:cs="Arial"/>
          <w:b/>
          <w:bCs/>
          <w:color w:val="0B0B0B"/>
          <w:kern w:val="0"/>
          <w:sz w:val="28"/>
          <w:szCs w:val="28"/>
        </w:rPr>
        <w:t>Chapter III Eligibility and Submission</w:t>
      </w:r>
    </w:p>
    <w:p w14:paraId="33134FC9" w14:textId="77777777" w:rsidR="00DA5FBF" w:rsidRPr="00E02698" w:rsidRDefault="00DA5FBF" w:rsidP="00DA5FBF">
      <w:pPr>
        <w:widowControl/>
        <w:ind w:firstLineChars="200" w:firstLine="560"/>
        <w:rPr>
          <w:rFonts w:ascii="Arial" w:eastAsia="宋体" w:hAnsi="Arial" w:cs="Arial"/>
          <w:color w:val="0B0B0B"/>
          <w:kern w:val="0"/>
          <w:sz w:val="28"/>
          <w:szCs w:val="28"/>
        </w:rPr>
      </w:pPr>
    </w:p>
    <w:p w14:paraId="06E89DED" w14:textId="77777777"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13</w:t>
      </w:r>
      <w:r w:rsidRPr="00E02698">
        <w:rPr>
          <w:rFonts w:ascii="Arial" w:eastAsia="宋体" w:hAnsi="Arial" w:cs="Arial"/>
          <w:color w:val="0B0B0B"/>
          <w:kern w:val="0"/>
          <w:sz w:val="28"/>
          <w:szCs w:val="28"/>
        </w:rPr>
        <w:t xml:space="preserve"> The competition is open to undergraduate or graduate students of all majors from BRAUIC member universities</w:t>
      </w:r>
      <w:r w:rsidRPr="00E02698">
        <w:rPr>
          <w:rFonts w:ascii="Arial" w:eastAsia="宋体" w:hAnsi="Arial" w:cs="Arial" w:hint="eastAsia"/>
          <w:color w:val="0B0B0B"/>
          <w:kern w:val="0"/>
          <w:sz w:val="28"/>
          <w:szCs w:val="28"/>
        </w:rPr>
        <w:t>.</w:t>
      </w:r>
      <w:r w:rsidRPr="00E02698">
        <w:rPr>
          <w:rFonts w:ascii="Arial" w:eastAsia="宋体" w:hAnsi="Arial" w:cs="Arial"/>
          <w:color w:val="0B0B0B"/>
          <w:kern w:val="0"/>
          <w:sz w:val="28"/>
          <w:szCs w:val="28"/>
        </w:rPr>
        <w:t xml:space="preserve"> Students can register with a team at its competition area. Each university work group is responsible for signing-up, organizing and supervising the works.</w:t>
      </w:r>
    </w:p>
    <w:p w14:paraId="6F5FF8F1" w14:textId="7A59C4B6"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14</w:t>
      </w:r>
      <w:r w:rsidRPr="00E02698">
        <w:rPr>
          <w:rFonts w:ascii="Arial" w:eastAsia="宋体" w:hAnsi="Arial" w:cs="Arial"/>
          <w:color w:val="0B0B0B"/>
          <w:kern w:val="0"/>
          <w:sz w:val="28"/>
          <w:szCs w:val="28"/>
        </w:rPr>
        <w:t xml:space="preserve"> Each year’s Competition Organizing Committee will determine the theme and categories of the Competition.</w:t>
      </w:r>
    </w:p>
    <w:p w14:paraId="1A11A6D4" w14:textId="30A4248C"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15</w:t>
      </w:r>
      <w:r w:rsidRPr="00E02698">
        <w:rPr>
          <w:rFonts w:ascii="Arial" w:eastAsia="宋体" w:hAnsi="Arial" w:cs="Arial"/>
          <w:color w:val="0B0B0B"/>
          <w:kern w:val="0"/>
          <w:sz w:val="28"/>
          <w:szCs w:val="28"/>
        </w:rPr>
        <w:t xml:space="preserve"> The Organizing Committee shall issue the announcement of the Competition, and each university shall organize its registration. Each team shall consist of no more than 6 persons and no more than 2 tutors. Each </w:t>
      </w:r>
      <w:r w:rsidRPr="00E02698">
        <w:rPr>
          <w:rFonts w:ascii="Arial" w:eastAsia="宋体" w:hAnsi="Arial" w:cs="Arial"/>
          <w:color w:val="0B0B0B"/>
          <w:kern w:val="0"/>
          <w:sz w:val="28"/>
          <w:szCs w:val="28"/>
        </w:rPr>
        <w:lastRenderedPageBreak/>
        <w:t>participant shall only be allowed to participate in one team. In order to improve teamwork awareness and for better management, the Competition does not accept applications from individuals.</w:t>
      </w:r>
    </w:p>
    <w:p w14:paraId="6CF3C7C8" w14:textId="351F0691"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 xml:space="preserve">Article 16 </w:t>
      </w:r>
      <w:r w:rsidRPr="00E02698">
        <w:rPr>
          <w:rFonts w:ascii="Arial" w:eastAsia="宋体" w:hAnsi="Arial" w:cs="Arial"/>
          <w:color w:val="0B0B0B"/>
          <w:kern w:val="0"/>
          <w:sz w:val="28"/>
          <w:szCs w:val="28"/>
        </w:rPr>
        <w:t>The participating universities are responsible for reviewing the qualifications of the participants, organizing experts for preliminary judging and rankings of the works, and recommending qualified works, and filling out and submitting the registration forms.</w:t>
      </w:r>
    </w:p>
    <w:p w14:paraId="549F3220" w14:textId="6CD9C0AD" w:rsidR="00DA5FBF" w:rsidRPr="00E02698" w:rsidRDefault="00DA5FBF" w:rsidP="00832795">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17</w:t>
      </w:r>
      <w:r w:rsidRPr="00E02698">
        <w:rPr>
          <w:rFonts w:ascii="Arial" w:eastAsia="宋体" w:hAnsi="Arial" w:cs="Arial"/>
          <w:color w:val="0B0B0B"/>
          <w:kern w:val="0"/>
          <w:sz w:val="28"/>
          <w:szCs w:val="28"/>
        </w:rPr>
        <w:t xml:space="preserve"> Participants are required to submit their works in accordance with the specifications and submission methods of the Competition plan.</w:t>
      </w:r>
    </w:p>
    <w:p w14:paraId="56AE713D" w14:textId="78C19C90" w:rsidR="00DA5FBF" w:rsidRPr="00E02698" w:rsidRDefault="00DA5FBF" w:rsidP="00832795">
      <w:pPr>
        <w:widowControl/>
        <w:jc w:val="center"/>
        <w:rPr>
          <w:rFonts w:ascii="Arial" w:eastAsia="宋体" w:hAnsi="Arial" w:cs="Arial"/>
          <w:color w:val="0B0B0B"/>
          <w:kern w:val="0"/>
          <w:sz w:val="28"/>
          <w:szCs w:val="28"/>
        </w:rPr>
      </w:pPr>
      <w:r w:rsidRPr="00E02698">
        <w:rPr>
          <w:rFonts w:ascii="Arial" w:eastAsia="宋体" w:hAnsi="Arial" w:cs="Arial"/>
          <w:b/>
          <w:bCs/>
          <w:color w:val="0B0B0B"/>
          <w:kern w:val="0"/>
          <w:sz w:val="28"/>
          <w:szCs w:val="28"/>
        </w:rPr>
        <w:t>Chapter IV Evaluation Rules and Competition Procedures</w:t>
      </w:r>
    </w:p>
    <w:p w14:paraId="7D3B030E" w14:textId="77777777"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 xml:space="preserve">Article 18 </w:t>
      </w:r>
      <w:r w:rsidRPr="00E02698">
        <w:rPr>
          <w:rFonts w:ascii="Arial" w:eastAsia="宋体" w:hAnsi="Arial" w:cs="Arial"/>
          <w:color w:val="0B0B0B"/>
          <w:kern w:val="0"/>
          <w:sz w:val="28"/>
          <w:szCs w:val="28"/>
        </w:rPr>
        <w:t>The evaluation of works is divided into two stages: selection of works and final competition:</w:t>
      </w:r>
    </w:p>
    <w:p w14:paraId="5BF11E61"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1. Selection of works: Participating universities organize competitions within the university, and select the recommended works to submit to the Competition work group according to the number of teams approved by the Organizing Committee.</w:t>
      </w:r>
    </w:p>
    <w:p w14:paraId="4C275777" w14:textId="77777777" w:rsidR="00DA5FBF" w:rsidRPr="00E02698" w:rsidRDefault="00DA5FBF" w:rsidP="00DA5FBF">
      <w:pPr>
        <w:widowControl/>
        <w:ind w:firstLineChars="200" w:firstLine="560"/>
        <w:rPr>
          <w:rFonts w:ascii="Arial" w:eastAsia="宋体" w:hAnsi="Arial" w:cs="Arial"/>
          <w:color w:val="0B0B0B"/>
          <w:kern w:val="0"/>
          <w:sz w:val="28"/>
          <w:szCs w:val="28"/>
        </w:rPr>
      </w:pPr>
      <w:r w:rsidRPr="00E02698">
        <w:rPr>
          <w:rFonts w:ascii="Arial" w:eastAsia="宋体" w:hAnsi="Arial" w:cs="Arial"/>
          <w:color w:val="0B0B0B"/>
          <w:kern w:val="0"/>
          <w:sz w:val="28"/>
          <w:szCs w:val="28"/>
        </w:rPr>
        <w:t xml:space="preserve">2. Final competition: The final competition is through public defense. The jury is composed of 9 to 11 experts generally, and the number of experts from the same organization shall be no more than two. The jury will </w:t>
      </w:r>
      <w:proofErr w:type="spellStart"/>
      <w:r w:rsidRPr="00E02698">
        <w:rPr>
          <w:rFonts w:ascii="Arial" w:eastAsia="宋体" w:hAnsi="Arial" w:cs="Arial"/>
          <w:color w:val="0B0B0B"/>
          <w:kern w:val="0"/>
          <w:sz w:val="28"/>
          <w:szCs w:val="28"/>
        </w:rPr>
        <w:t>evluate</w:t>
      </w:r>
      <w:proofErr w:type="spellEnd"/>
      <w:r w:rsidRPr="00E02698">
        <w:rPr>
          <w:rFonts w:ascii="Arial" w:eastAsia="宋体" w:hAnsi="Arial" w:cs="Arial"/>
          <w:color w:val="0B0B0B"/>
          <w:kern w:val="0"/>
          <w:sz w:val="28"/>
          <w:szCs w:val="28"/>
        </w:rPr>
        <w:t xml:space="preserve"> based on the innovative, scientific, and rational aspects of the works, submitted materials and experiments, demonstrations, and defenses of the participants.</w:t>
      </w:r>
    </w:p>
    <w:p w14:paraId="1C533D1C" w14:textId="77777777"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19</w:t>
      </w:r>
      <w:r w:rsidRPr="00E02698">
        <w:rPr>
          <w:rFonts w:ascii="Arial" w:eastAsia="宋体" w:hAnsi="Arial" w:cs="Arial"/>
          <w:color w:val="0B0B0B"/>
          <w:kern w:val="0"/>
          <w:sz w:val="28"/>
          <w:szCs w:val="28"/>
        </w:rPr>
        <w:t xml:space="preserve"> The results of the winners shall be notified in public.</w:t>
      </w:r>
    </w:p>
    <w:p w14:paraId="405C1C96" w14:textId="77777777" w:rsidR="00DA5FBF" w:rsidRPr="00E02698" w:rsidRDefault="00DA5FBF" w:rsidP="00DA5FBF">
      <w:pPr>
        <w:widowControl/>
        <w:ind w:firstLineChars="200" w:firstLine="560"/>
        <w:rPr>
          <w:rFonts w:ascii="Arial" w:eastAsia="宋体" w:hAnsi="Arial" w:cs="Arial"/>
          <w:color w:val="0B0B0B"/>
          <w:kern w:val="0"/>
          <w:sz w:val="28"/>
          <w:szCs w:val="28"/>
        </w:rPr>
      </w:pPr>
    </w:p>
    <w:p w14:paraId="28C16FEC" w14:textId="19EEA870" w:rsidR="00DA5FBF" w:rsidRPr="00E02698" w:rsidRDefault="00DA5FBF" w:rsidP="00DA5FBF">
      <w:pPr>
        <w:widowControl/>
        <w:jc w:val="center"/>
        <w:rPr>
          <w:rFonts w:ascii="Arial" w:eastAsia="宋体" w:hAnsi="Arial" w:cs="Arial"/>
          <w:b/>
          <w:bCs/>
          <w:color w:val="0B0B0B"/>
          <w:kern w:val="0"/>
          <w:sz w:val="28"/>
          <w:szCs w:val="28"/>
        </w:rPr>
      </w:pPr>
      <w:r w:rsidRPr="00E02698">
        <w:rPr>
          <w:rFonts w:ascii="Arial" w:eastAsia="宋体" w:hAnsi="Arial" w:cs="Arial"/>
          <w:b/>
          <w:bCs/>
          <w:color w:val="0B0B0B"/>
          <w:kern w:val="0"/>
          <w:sz w:val="28"/>
          <w:szCs w:val="28"/>
        </w:rPr>
        <w:t>Chapter V Awards</w:t>
      </w:r>
    </w:p>
    <w:p w14:paraId="1FEF8AE0" w14:textId="77777777" w:rsidR="00DA5FBF" w:rsidRPr="00E02698" w:rsidRDefault="00DA5FBF" w:rsidP="00DA5FBF">
      <w:pPr>
        <w:widowControl/>
        <w:ind w:firstLineChars="200" w:firstLine="560"/>
        <w:rPr>
          <w:rFonts w:ascii="Arial" w:eastAsia="宋体" w:hAnsi="Arial" w:cs="Arial"/>
          <w:color w:val="0B0B0B"/>
          <w:kern w:val="0"/>
          <w:sz w:val="28"/>
          <w:szCs w:val="28"/>
        </w:rPr>
      </w:pPr>
    </w:p>
    <w:p w14:paraId="3DFD88DB" w14:textId="73C08B34"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20</w:t>
      </w:r>
      <w:r w:rsidRPr="00E02698">
        <w:rPr>
          <w:rFonts w:ascii="Arial" w:eastAsia="宋体" w:hAnsi="Arial" w:cs="Arial"/>
          <w:color w:val="0B0B0B"/>
          <w:kern w:val="0"/>
          <w:sz w:val="28"/>
          <w:szCs w:val="28"/>
        </w:rPr>
        <w:t xml:space="preserve"> The Competition shall be organized </w:t>
      </w:r>
      <w:r w:rsidRPr="00E02698">
        <w:rPr>
          <w:rFonts w:ascii="Arial" w:eastAsia="宋体" w:hAnsi="Arial" w:cs="Arial" w:hint="eastAsia"/>
          <w:color w:val="0B0B0B"/>
          <w:kern w:val="0"/>
          <w:sz w:val="28"/>
          <w:szCs w:val="28"/>
        </w:rPr>
        <w:t>under</w:t>
      </w:r>
      <w:r w:rsidRPr="00E02698">
        <w:rPr>
          <w:rFonts w:ascii="Arial" w:eastAsia="宋体" w:hAnsi="Arial" w:cs="Arial"/>
          <w:color w:val="0B0B0B"/>
          <w:kern w:val="0"/>
          <w:sz w:val="28"/>
          <w:szCs w:val="28"/>
        </w:rPr>
        <w:t xml:space="preserve"> the principle of “fairness, justice and openness”, and sets awards such as the first, second and third prizes, outstanding organization awards and excellent tutoring awards. </w:t>
      </w:r>
    </w:p>
    <w:p w14:paraId="1208F330" w14:textId="1CD4137C"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21</w:t>
      </w:r>
      <w:r w:rsidRPr="00E02698">
        <w:rPr>
          <w:rFonts w:ascii="Arial" w:eastAsia="宋体" w:hAnsi="Arial" w:cs="Arial"/>
          <w:color w:val="0B0B0B"/>
          <w:kern w:val="0"/>
          <w:sz w:val="28"/>
          <w:szCs w:val="28"/>
        </w:rPr>
        <w:t xml:space="preserve"> According to the characteristics of each year’s Competition, the Competition work group may add several other awards and submit to the Competition Organizing Committee for approval.</w:t>
      </w:r>
    </w:p>
    <w:p w14:paraId="7BBDB917" w14:textId="77777777" w:rsidR="00DA5FBF" w:rsidRPr="00E02698" w:rsidRDefault="00DA5FBF" w:rsidP="00DA5FBF">
      <w:pPr>
        <w:widowControl/>
        <w:ind w:firstLineChars="200" w:firstLine="560"/>
        <w:rPr>
          <w:rFonts w:ascii="Arial" w:eastAsia="宋体" w:hAnsi="Arial" w:cs="Arial"/>
          <w:color w:val="0B0B0B"/>
          <w:kern w:val="0"/>
          <w:sz w:val="28"/>
          <w:szCs w:val="28"/>
        </w:rPr>
      </w:pPr>
    </w:p>
    <w:p w14:paraId="7C663EB8" w14:textId="0EFC2FAD" w:rsidR="00DA5FBF" w:rsidRPr="00E02698" w:rsidRDefault="00DA5FBF" w:rsidP="00DA5FBF">
      <w:pPr>
        <w:widowControl/>
        <w:jc w:val="center"/>
        <w:rPr>
          <w:rFonts w:ascii="Arial" w:eastAsia="宋体" w:hAnsi="Arial" w:cs="Arial"/>
          <w:b/>
          <w:bCs/>
          <w:color w:val="0B0B0B"/>
          <w:kern w:val="0"/>
          <w:sz w:val="28"/>
          <w:szCs w:val="28"/>
        </w:rPr>
      </w:pPr>
      <w:r w:rsidRPr="00E02698">
        <w:rPr>
          <w:rFonts w:ascii="Arial" w:eastAsia="宋体" w:hAnsi="Arial" w:cs="Arial"/>
          <w:b/>
          <w:bCs/>
          <w:color w:val="0B0B0B"/>
          <w:kern w:val="0"/>
          <w:sz w:val="28"/>
          <w:szCs w:val="28"/>
        </w:rPr>
        <w:t>Chapter VI Funding</w:t>
      </w:r>
    </w:p>
    <w:p w14:paraId="79810137" w14:textId="77777777" w:rsidR="00DA5FBF" w:rsidRPr="00E02698" w:rsidRDefault="00DA5FBF" w:rsidP="00DA5FBF">
      <w:pPr>
        <w:widowControl/>
        <w:ind w:firstLineChars="200" w:firstLine="560"/>
        <w:rPr>
          <w:rFonts w:ascii="Arial" w:eastAsia="宋体" w:hAnsi="Arial" w:cs="Arial"/>
          <w:color w:val="0B0B0B"/>
          <w:kern w:val="0"/>
          <w:sz w:val="28"/>
          <w:szCs w:val="28"/>
        </w:rPr>
      </w:pPr>
    </w:p>
    <w:p w14:paraId="65189C3B" w14:textId="204A76D0"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Article 22</w:t>
      </w:r>
      <w:r w:rsidRPr="00E02698">
        <w:rPr>
          <w:rFonts w:ascii="Arial" w:eastAsia="宋体" w:hAnsi="Arial" w:cs="Arial"/>
          <w:color w:val="0B0B0B"/>
          <w:kern w:val="0"/>
          <w:sz w:val="28"/>
          <w:szCs w:val="28"/>
        </w:rPr>
        <w:t xml:space="preserve"> Source of Funds: Generally, the fund for Competition shall be raised by the hosting organization and may be sponsored by enterprises. The international travel expenses and accommodation expenses of each participating organization shall be borne by the participating organization.</w:t>
      </w:r>
      <w:r w:rsidR="00832795" w:rsidRPr="00E02698">
        <w:rPr>
          <w:rFonts w:ascii="Arial" w:eastAsia="宋体" w:hAnsi="Arial" w:cs="Arial" w:hint="eastAsia"/>
          <w:color w:val="0B0B0B"/>
          <w:kern w:val="0"/>
          <w:sz w:val="28"/>
          <w:szCs w:val="28"/>
        </w:rPr>
        <w:t xml:space="preserve"> Sponsors can offer corresponding subsidies according to award conditions. </w:t>
      </w:r>
    </w:p>
    <w:p w14:paraId="7C2E6A02" w14:textId="5CAF8327" w:rsidR="00DA5FBF" w:rsidRPr="00E02698" w:rsidRDefault="00DA5FBF" w:rsidP="00DA5FBF">
      <w:pPr>
        <w:widowControl/>
        <w:ind w:firstLineChars="200" w:firstLine="562"/>
        <w:rPr>
          <w:rFonts w:ascii="Arial" w:eastAsia="宋体" w:hAnsi="Arial" w:cs="Arial"/>
          <w:color w:val="0B0B0B"/>
          <w:kern w:val="0"/>
          <w:sz w:val="28"/>
          <w:szCs w:val="28"/>
        </w:rPr>
      </w:pPr>
      <w:r w:rsidRPr="00E02698">
        <w:rPr>
          <w:rFonts w:ascii="Arial" w:eastAsia="宋体" w:hAnsi="Arial" w:cs="Arial"/>
          <w:b/>
          <w:bCs/>
          <w:color w:val="0B0B0B"/>
          <w:kern w:val="0"/>
          <w:sz w:val="28"/>
          <w:szCs w:val="28"/>
        </w:rPr>
        <w:t xml:space="preserve">Article 23 </w:t>
      </w:r>
      <w:r w:rsidRPr="00E02698">
        <w:rPr>
          <w:rFonts w:ascii="Arial" w:eastAsia="宋体" w:hAnsi="Arial" w:cs="Arial"/>
          <w:color w:val="0B0B0B"/>
          <w:kern w:val="0"/>
          <w:sz w:val="28"/>
          <w:szCs w:val="28"/>
        </w:rPr>
        <w:t xml:space="preserve">Use of Funds: The funds are mainly used for administration expenses, venues and public equipment fees, publicity fees, jury salaries, </w:t>
      </w:r>
      <w:r w:rsidR="00832795" w:rsidRPr="00E02698">
        <w:rPr>
          <w:rFonts w:ascii="Arial" w:eastAsia="宋体" w:hAnsi="Arial" w:cs="Arial" w:hint="eastAsia"/>
          <w:color w:val="0B0B0B"/>
          <w:kern w:val="0"/>
          <w:sz w:val="28"/>
          <w:szCs w:val="28"/>
        </w:rPr>
        <w:t xml:space="preserve">and translation fee, </w:t>
      </w:r>
      <w:r w:rsidRPr="00E02698">
        <w:rPr>
          <w:rFonts w:ascii="Arial" w:eastAsia="宋体" w:hAnsi="Arial" w:cs="Arial"/>
          <w:color w:val="0B0B0B"/>
          <w:kern w:val="0"/>
          <w:sz w:val="28"/>
          <w:szCs w:val="28"/>
        </w:rPr>
        <w:t>etc.</w:t>
      </w:r>
    </w:p>
    <w:p w14:paraId="204579B3" w14:textId="77777777" w:rsidR="00DA5FBF" w:rsidRPr="00E02698" w:rsidRDefault="00DA5FBF" w:rsidP="00DA5FBF">
      <w:pPr>
        <w:widowControl/>
        <w:ind w:firstLineChars="200" w:firstLine="560"/>
        <w:rPr>
          <w:rFonts w:ascii="Arial" w:eastAsia="宋体" w:hAnsi="Arial" w:cs="Arial"/>
          <w:color w:val="0B0B0B"/>
          <w:kern w:val="0"/>
          <w:sz w:val="28"/>
          <w:szCs w:val="28"/>
        </w:rPr>
      </w:pPr>
      <w:bookmarkStart w:id="1" w:name="_GoBack"/>
      <w:bookmarkEnd w:id="1"/>
    </w:p>
    <w:p w14:paraId="1BA5C21E" w14:textId="245A93B5" w:rsidR="00DA5FBF" w:rsidRPr="00E02698" w:rsidRDefault="00DA5FBF" w:rsidP="00DA5FBF">
      <w:pPr>
        <w:widowControl/>
        <w:jc w:val="center"/>
        <w:rPr>
          <w:rFonts w:ascii="Arial" w:eastAsia="宋体" w:hAnsi="Arial" w:cs="Arial"/>
          <w:b/>
          <w:bCs/>
          <w:color w:val="0B0B0B"/>
          <w:kern w:val="0"/>
          <w:sz w:val="28"/>
          <w:szCs w:val="28"/>
        </w:rPr>
      </w:pPr>
      <w:r w:rsidRPr="00E02698">
        <w:rPr>
          <w:rFonts w:ascii="Arial" w:eastAsia="宋体" w:hAnsi="Arial" w:cs="Arial"/>
          <w:b/>
          <w:bCs/>
          <w:color w:val="0B0B0B"/>
          <w:kern w:val="0"/>
          <w:sz w:val="28"/>
          <w:szCs w:val="28"/>
        </w:rPr>
        <w:lastRenderedPageBreak/>
        <w:t>Chapter VII Supplementary Provisions</w:t>
      </w:r>
    </w:p>
    <w:p w14:paraId="41E14BC3" w14:textId="77777777" w:rsidR="00DA5FBF" w:rsidRPr="00E02698" w:rsidRDefault="00DA5FBF" w:rsidP="00DA5FBF">
      <w:pPr>
        <w:widowControl/>
        <w:ind w:firstLineChars="200" w:firstLine="560"/>
        <w:rPr>
          <w:rFonts w:ascii="Arial" w:eastAsia="宋体" w:hAnsi="Arial" w:cs="Arial"/>
          <w:color w:val="0B0B0B"/>
          <w:kern w:val="0"/>
          <w:sz w:val="28"/>
          <w:szCs w:val="28"/>
        </w:rPr>
      </w:pPr>
    </w:p>
    <w:p w14:paraId="7A578466" w14:textId="4114C83F" w:rsidR="00FD248D" w:rsidRDefault="00DA5FBF" w:rsidP="00DA5FBF">
      <w:pPr>
        <w:ind w:firstLineChars="200" w:firstLine="562"/>
      </w:pPr>
      <w:r w:rsidRPr="00E02698">
        <w:rPr>
          <w:rFonts w:ascii="Arial" w:eastAsia="宋体" w:hAnsi="Arial" w:cs="Arial"/>
          <w:b/>
          <w:bCs/>
          <w:color w:val="0B0B0B"/>
          <w:kern w:val="0"/>
          <w:sz w:val="28"/>
          <w:szCs w:val="28"/>
        </w:rPr>
        <w:t>Article 24</w:t>
      </w:r>
      <w:r w:rsidRPr="00E02698">
        <w:rPr>
          <w:rFonts w:ascii="Arial" w:eastAsia="宋体" w:hAnsi="Arial" w:cs="Arial"/>
          <w:color w:val="0B0B0B"/>
          <w:kern w:val="0"/>
          <w:sz w:val="28"/>
          <w:szCs w:val="28"/>
        </w:rPr>
        <w:t xml:space="preserve"> The right to interpret and modify the articles belongs to the Competition Organizing Committee.</w:t>
      </w:r>
    </w:p>
    <w:sectPr w:rsidR="00FD248D" w:rsidSect="00DA5FBF">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38595" w14:textId="77777777" w:rsidR="00DB0D86" w:rsidRDefault="00DB0D86" w:rsidP="00DA5FBF">
      <w:r>
        <w:separator/>
      </w:r>
    </w:p>
  </w:endnote>
  <w:endnote w:type="continuationSeparator" w:id="0">
    <w:p w14:paraId="04DA1CDF" w14:textId="77777777" w:rsidR="00DB0D86" w:rsidRDefault="00DB0D86" w:rsidP="00DA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4021" w14:textId="77777777" w:rsidR="00DB0D86" w:rsidRDefault="00DB0D86" w:rsidP="00DA5FBF">
      <w:r>
        <w:separator/>
      </w:r>
    </w:p>
  </w:footnote>
  <w:footnote w:type="continuationSeparator" w:id="0">
    <w:p w14:paraId="72CB8811" w14:textId="77777777" w:rsidR="00DB0D86" w:rsidRDefault="00DB0D86" w:rsidP="00DA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14C0"/>
    <w:multiLevelType w:val="hybridMultilevel"/>
    <w:tmpl w:val="028AC7E2"/>
    <w:lvl w:ilvl="0" w:tplc="5BC4E9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090374"/>
    <w:multiLevelType w:val="hybridMultilevel"/>
    <w:tmpl w:val="A22AA042"/>
    <w:lvl w:ilvl="0" w:tplc="F42CD38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95E4CD8"/>
    <w:multiLevelType w:val="hybridMultilevel"/>
    <w:tmpl w:val="122EAF9A"/>
    <w:lvl w:ilvl="0" w:tplc="D638D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A7"/>
    <w:rsid w:val="001F5B81"/>
    <w:rsid w:val="004D32A1"/>
    <w:rsid w:val="00573F14"/>
    <w:rsid w:val="007A630B"/>
    <w:rsid w:val="007F4FA7"/>
    <w:rsid w:val="00832795"/>
    <w:rsid w:val="00B41F90"/>
    <w:rsid w:val="00DA5FBF"/>
    <w:rsid w:val="00DB0D86"/>
    <w:rsid w:val="00E02698"/>
    <w:rsid w:val="00E02CA3"/>
    <w:rsid w:val="00FD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3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FBF"/>
    <w:rPr>
      <w:sz w:val="18"/>
      <w:szCs w:val="18"/>
    </w:rPr>
  </w:style>
  <w:style w:type="paragraph" w:styleId="a4">
    <w:name w:val="footer"/>
    <w:basedOn w:val="a"/>
    <w:link w:val="Char0"/>
    <w:uiPriority w:val="99"/>
    <w:unhideWhenUsed/>
    <w:rsid w:val="00DA5FBF"/>
    <w:pPr>
      <w:tabs>
        <w:tab w:val="center" w:pos="4153"/>
        <w:tab w:val="right" w:pos="8306"/>
      </w:tabs>
      <w:snapToGrid w:val="0"/>
      <w:jc w:val="left"/>
    </w:pPr>
    <w:rPr>
      <w:sz w:val="18"/>
      <w:szCs w:val="18"/>
    </w:rPr>
  </w:style>
  <w:style w:type="character" w:customStyle="1" w:styleId="Char0">
    <w:name w:val="页脚 Char"/>
    <w:basedOn w:val="a0"/>
    <w:link w:val="a4"/>
    <w:uiPriority w:val="99"/>
    <w:rsid w:val="00DA5FBF"/>
    <w:rPr>
      <w:sz w:val="18"/>
      <w:szCs w:val="18"/>
    </w:rPr>
  </w:style>
  <w:style w:type="paragraph" w:styleId="a5">
    <w:name w:val="List Paragraph"/>
    <w:basedOn w:val="a"/>
    <w:uiPriority w:val="34"/>
    <w:qFormat/>
    <w:rsid w:val="00DA5F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FBF"/>
    <w:rPr>
      <w:sz w:val="18"/>
      <w:szCs w:val="18"/>
    </w:rPr>
  </w:style>
  <w:style w:type="paragraph" w:styleId="a4">
    <w:name w:val="footer"/>
    <w:basedOn w:val="a"/>
    <w:link w:val="Char0"/>
    <w:uiPriority w:val="99"/>
    <w:unhideWhenUsed/>
    <w:rsid w:val="00DA5FBF"/>
    <w:pPr>
      <w:tabs>
        <w:tab w:val="center" w:pos="4153"/>
        <w:tab w:val="right" w:pos="8306"/>
      </w:tabs>
      <w:snapToGrid w:val="0"/>
      <w:jc w:val="left"/>
    </w:pPr>
    <w:rPr>
      <w:sz w:val="18"/>
      <w:szCs w:val="18"/>
    </w:rPr>
  </w:style>
  <w:style w:type="character" w:customStyle="1" w:styleId="Char0">
    <w:name w:val="页脚 Char"/>
    <w:basedOn w:val="a0"/>
    <w:link w:val="a4"/>
    <w:uiPriority w:val="99"/>
    <w:rsid w:val="00DA5FBF"/>
    <w:rPr>
      <w:sz w:val="18"/>
      <w:szCs w:val="18"/>
    </w:rPr>
  </w:style>
  <w:style w:type="paragraph" w:styleId="a5">
    <w:name w:val="List Paragraph"/>
    <w:basedOn w:val="a"/>
    <w:uiPriority w:val="34"/>
    <w:qFormat/>
    <w:rsid w:val="00DA5FB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4444</Words>
  <Characters>4444</Characters>
  <Application>Microsoft Office Word</Application>
  <DocSecurity>0</DocSecurity>
  <Lines>261</Lines>
  <Paragraphs>261</Paragraphs>
  <ScaleCrop>false</ScaleCrop>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Yang</dc:creator>
  <cp:keywords/>
  <dc:description/>
  <cp:lastModifiedBy>User</cp:lastModifiedBy>
  <cp:revision>9</cp:revision>
  <dcterms:created xsi:type="dcterms:W3CDTF">2019-07-27T16:16:00Z</dcterms:created>
  <dcterms:modified xsi:type="dcterms:W3CDTF">2019-09-26T07:27:00Z</dcterms:modified>
</cp:coreProperties>
</file>